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2"/>
        <w:ind w:left="6037" w:right="5478"/>
        <w:jc w:val="center"/>
      </w:pPr>
      <w:r>
        <w:rPr/>
        <w:t>Encuentro</w:t>
      </w:r>
      <w:r>
        <w:rPr>
          <w:spacing w:val="-7"/>
        </w:rPr>
        <w:t> </w:t>
      </w:r>
      <w:r>
        <w:rPr/>
        <w:t>Comisión</w:t>
      </w:r>
      <w:r>
        <w:rPr>
          <w:spacing w:val="-7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Pastoral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Adicciones Pastoral Social </w:t>
      </w:r>
      <w:r>
        <w:rPr>
          <w:w w:val="75"/>
        </w:rPr>
        <w:t>-­‐</w:t>
      </w:r>
      <w:r>
        <w:rPr/>
        <w:t> Conferencia Episcopal Argentina</w:t>
      </w:r>
    </w:p>
    <w:p>
      <w:pPr>
        <w:pStyle w:val="BodyText"/>
        <w:spacing w:before="114"/>
      </w:pPr>
    </w:p>
    <w:p>
      <w:pPr>
        <w:spacing w:before="0"/>
        <w:ind w:left="555" w:right="1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DIFERENTES</w:t>
      </w:r>
      <w:r>
        <w:rPr>
          <w:rFonts w:ascii="Calibri" w:hAnsi="Calibri"/>
          <w:b/>
          <w:spacing w:val="24"/>
          <w:sz w:val="22"/>
        </w:rPr>
        <w:t> </w:t>
      </w:r>
      <w:r>
        <w:rPr>
          <w:rFonts w:ascii="Calibri" w:hAnsi="Calibri"/>
          <w:b/>
          <w:sz w:val="22"/>
        </w:rPr>
        <w:t>"LENTES"</w:t>
      </w:r>
      <w:r>
        <w:rPr>
          <w:rFonts w:ascii="Calibri" w:hAnsi="Calibri"/>
          <w:b/>
          <w:spacing w:val="25"/>
          <w:sz w:val="22"/>
        </w:rPr>
        <w:t> </w:t>
      </w:r>
      <w:r>
        <w:rPr>
          <w:rFonts w:ascii="Calibri" w:hAnsi="Calibri"/>
          <w:b/>
          <w:sz w:val="22"/>
        </w:rPr>
        <w:t>PARA</w:t>
      </w:r>
      <w:r>
        <w:rPr>
          <w:rFonts w:ascii="Calibri" w:hAnsi="Calibri"/>
          <w:b/>
          <w:spacing w:val="25"/>
          <w:sz w:val="22"/>
        </w:rPr>
        <w:t> </w:t>
      </w:r>
      <w:r>
        <w:rPr>
          <w:rFonts w:ascii="Calibri" w:hAnsi="Calibri"/>
          <w:b/>
          <w:sz w:val="22"/>
        </w:rPr>
        <w:t>VER</w:t>
      </w:r>
      <w:r>
        <w:rPr>
          <w:rFonts w:ascii="Calibri" w:hAnsi="Calibri"/>
          <w:b/>
          <w:spacing w:val="25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25"/>
          <w:sz w:val="22"/>
        </w:rPr>
        <w:t> </w:t>
      </w:r>
      <w:r>
        <w:rPr>
          <w:rFonts w:ascii="Calibri" w:hAnsi="Calibri"/>
          <w:b/>
          <w:sz w:val="22"/>
        </w:rPr>
        <w:t>PROBLEMÁTICA</w:t>
      </w:r>
      <w:r>
        <w:rPr>
          <w:rFonts w:ascii="Calibri" w:hAnsi="Calibri"/>
          <w:b/>
          <w:spacing w:val="25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25"/>
          <w:sz w:val="22"/>
        </w:rPr>
        <w:t> </w:t>
      </w:r>
      <w:r>
        <w:rPr>
          <w:rFonts w:ascii="Calibri" w:hAnsi="Calibri"/>
          <w:b/>
          <w:sz w:val="22"/>
        </w:rPr>
        <w:t>LAS</w:t>
      </w:r>
      <w:r>
        <w:rPr>
          <w:rFonts w:ascii="Calibri" w:hAnsi="Calibri"/>
          <w:b/>
          <w:spacing w:val="25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ADICCIONES</w:t>
      </w:r>
    </w:p>
    <w:p>
      <w:pPr>
        <w:spacing w:before="15"/>
        <w:ind w:left="555" w:right="0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Este</w:t>
      </w:r>
      <w:r>
        <w:rPr>
          <w:rFonts w:ascii="Calibri"/>
          <w:b/>
          <w:spacing w:val="17"/>
          <w:sz w:val="22"/>
        </w:rPr>
        <w:t> </w:t>
      </w:r>
      <w:r>
        <w:rPr>
          <w:rFonts w:ascii="Calibri"/>
          <w:b/>
          <w:sz w:val="22"/>
        </w:rPr>
        <w:t>cuadro</w:t>
      </w:r>
      <w:r>
        <w:rPr>
          <w:rFonts w:ascii="Calibri"/>
          <w:b/>
          <w:spacing w:val="18"/>
          <w:sz w:val="22"/>
        </w:rPr>
        <w:t> </w:t>
      </w:r>
      <w:r>
        <w:rPr>
          <w:rFonts w:ascii="Calibri"/>
          <w:b/>
          <w:sz w:val="22"/>
        </w:rPr>
        <w:t>fue</w:t>
      </w:r>
      <w:r>
        <w:rPr>
          <w:rFonts w:ascii="Calibri"/>
          <w:b/>
          <w:spacing w:val="17"/>
          <w:sz w:val="22"/>
        </w:rPr>
        <w:t> </w:t>
      </w:r>
      <w:r>
        <w:rPr>
          <w:rFonts w:ascii="Calibri"/>
          <w:b/>
          <w:sz w:val="22"/>
        </w:rPr>
        <w:t>elaborado</w:t>
      </w:r>
      <w:r>
        <w:rPr>
          <w:rFonts w:ascii="Calibri"/>
          <w:b/>
          <w:spacing w:val="18"/>
          <w:sz w:val="22"/>
        </w:rPr>
        <w:t> </w:t>
      </w:r>
      <w:r>
        <w:rPr>
          <w:rFonts w:ascii="Calibri"/>
          <w:b/>
          <w:sz w:val="22"/>
        </w:rPr>
        <w:t>en</w:t>
      </w:r>
      <w:r>
        <w:rPr>
          <w:rFonts w:ascii="Calibri"/>
          <w:b/>
          <w:spacing w:val="18"/>
          <w:sz w:val="22"/>
        </w:rPr>
        <w:t> </w:t>
      </w:r>
      <w:r>
        <w:rPr>
          <w:rFonts w:ascii="Calibri"/>
          <w:b/>
          <w:sz w:val="22"/>
        </w:rPr>
        <w:t>base</w:t>
      </w:r>
      <w:r>
        <w:rPr>
          <w:rFonts w:ascii="Calibri"/>
          <w:b/>
          <w:spacing w:val="17"/>
          <w:sz w:val="22"/>
        </w:rPr>
        <w:t> </w:t>
      </w:r>
      <w:r>
        <w:rPr>
          <w:rFonts w:ascii="Calibri"/>
          <w:b/>
          <w:sz w:val="22"/>
        </w:rPr>
        <w:t>al</w:t>
      </w:r>
      <w:r>
        <w:rPr>
          <w:rFonts w:ascii="Calibri"/>
          <w:b/>
          <w:spacing w:val="17"/>
          <w:sz w:val="22"/>
        </w:rPr>
        <w:t> </w:t>
      </w:r>
      <w:r>
        <w:rPr>
          <w:rFonts w:ascii="Calibri"/>
          <w:b/>
          <w:sz w:val="22"/>
        </w:rPr>
        <w:t>libro</w:t>
      </w:r>
      <w:r>
        <w:rPr>
          <w:rFonts w:ascii="Calibri"/>
          <w:b/>
          <w:spacing w:val="18"/>
          <w:sz w:val="22"/>
        </w:rPr>
        <w:t> </w:t>
      </w:r>
      <w:r>
        <w:rPr>
          <w:rFonts w:ascii="Calibri"/>
          <w:b/>
          <w:i/>
          <w:sz w:val="22"/>
        </w:rPr>
        <w:t>La</w:t>
      </w:r>
      <w:r>
        <w:rPr>
          <w:rFonts w:ascii="Calibri"/>
          <w:b/>
          <w:i/>
          <w:spacing w:val="17"/>
          <w:sz w:val="22"/>
        </w:rPr>
        <w:t> </w:t>
      </w:r>
      <w:r>
        <w:rPr>
          <w:rFonts w:ascii="Calibri"/>
          <w:b/>
          <w:i/>
          <w:sz w:val="22"/>
        </w:rPr>
        <w:t>verdad</w:t>
      </w:r>
      <w:r>
        <w:rPr>
          <w:rFonts w:ascii="Calibri"/>
          <w:b/>
          <w:i/>
          <w:spacing w:val="18"/>
          <w:sz w:val="22"/>
        </w:rPr>
        <w:t> </w:t>
      </w:r>
      <w:r>
        <w:rPr>
          <w:rFonts w:ascii="Calibri"/>
          <w:b/>
          <w:i/>
          <w:sz w:val="22"/>
        </w:rPr>
        <w:t>sobre</w:t>
      </w:r>
      <w:r>
        <w:rPr>
          <w:rFonts w:ascii="Calibri"/>
          <w:b/>
          <w:i/>
          <w:spacing w:val="17"/>
          <w:sz w:val="22"/>
        </w:rPr>
        <w:t> </w:t>
      </w:r>
      <w:r>
        <w:rPr>
          <w:rFonts w:ascii="Calibri"/>
          <w:b/>
          <w:i/>
          <w:sz w:val="22"/>
        </w:rPr>
        <w:t>la</w:t>
      </w:r>
      <w:r>
        <w:rPr>
          <w:rFonts w:ascii="Calibri"/>
          <w:b/>
          <w:i/>
          <w:spacing w:val="18"/>
          <w:sz w:val="22"/>
        </w:rPr>
        <w:t> </w:t>
      </w:r>
      <w:r>
        <w:rPr>
          <w:rFonts w:ascii="Calibri"/>
          <w:b/>
          <w:i/>
          <w:sz w:val="22"/>
        </w:rPr>
        <w:t>droga</w:t>
      </w:r>
      <w:r>
        <w:rPr>
          <w:rFonts w:ascii="Calibri"/>
          <w:b/>
          <w:sz w:val="22"/>
        </w:rPr>
        <w:t>,</w:t>
      </w:r>
      <w:r>
        <w:rPr>
          <w:rFonts w:ascii="Calibri"/>
          <w:b/>
          <w:spacing w:val="17"/>
          <w:sz w:val="22"/>
        </w:rPr>
        <w:t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17"/>
          <w:sz w:val="22"/>
        </w:rPr>
        <w:t> </w:t>
      </w:r>
      <w:r>
        <w:rPr>
          <w:rFonts w:ascii="Calibri"/>
          <w:b/>
          <w:sz w:val="22"/>
        </w:rPr>
        <w:t>Helen</w:t>
      </w:r>
      <w:r>
        <w:rPr>
          <w:rFonts w:ascii="Calibri"/>
          <w:b/>
          <w:spacing w:val="18"/>
          <w:sz w:val="22"/>
        </w:rPr>
        <w:t> </w:t>
      </w:r>
      <w:r>
        <w:rPr>
          <w:rFonts w:ascii="Calibri"/>
          <w:b/>
          <w:spacing w:val="-2"/>
          <w:sz w:val="22"/>
        </w:rPr>
        <w:t>Nowlis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3403"/>
        <w:gridCol w:w="5102"/>
        <w:gridCol w:w="4536"/>
        <w:gridCol w:w="2976"/>
      </w:tblGrid>
      <w:tr>
        <w:trPr>
          <w:trHeight w:val="277" w:hRule="atLeast"/>
        </w:trPr>
        <w:tc>
          <w:tcPr>
            <w:tcW w:w="152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252" w:lineRule="exact" w:before="6"/>
              <w:ind w:left="8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w w:val="90"/>
                <w:sz w:val="22"/>
              </w:rPr>
              <w:t>ÉTICO</w:t>
            </w:r>
            <w:r>
              <w:rPr>
                <w:rFonts w:ascii="Calibri" w:hAnsi="Calibri"/>
                <w:b/>
                <w:spacing w:val="4"/>
                <w:sz w:val="22"/>
              </w:rPr>
              <w:t> </w:t>
            </w:r>
            <w:r>
              <w:rPr>
                <w:rFonts w:ascii="Calibri" w:hAnsi="Calibri"/>
                <w:b/>
                <w:w w:val="70"/>
                <w:sz w:val="22"/>
              </w:rPr>
              <w:t>-­‐</w:t>
            </w:r>
            <w:r>
              <w:rPr>
                <w:rFonts w:ascii="Calibri" w:hAnsi="Calibri"/>
                <w:b/>
                <w:spacing w:val="3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w w:val="90"/>
                <w:sz w:val="22"/>
              </w:rPr>
              <w:t>JURÍDICO</w:t>
            </w:r>
          </w:p>
        </w:tc>
        <w:tc>
          <w:tcPr>
            <w:tcW w:w="5102" w:type="dxa"/>
          </w:tcPr>
          <w:p>
            <w:pPr>
              <w:pStyle w:val="TableParagraph"/>
              <w:spacing w:line="252" w:lineRule="exact" w:before="6"/>
              <w:ind w:left="1538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w w:val="95"/>
                <w:sz w:val="22"/>
              </w:rPr>
              <w:t>MÉDICO</w:t>
            </w:r>
            <w:r>
              <w:rPr>
                <w:rFonts w:ascii="Calibri" w:hAnsi="Calibri"/>
                <w:b/>
                <w:sz w:val="22"/>
              </w:rPr>
              <w:t> </w:t>
            </w:r>
            <w:r>
              <w:rPr>
                <w:rFonts w:ascii="Calibri" w:hAnsi="Calibri"/>
                <w:b/>
                <w:w w:val="70"/>
                <w:sz w:val="22"/>
              </w:rPr>
              <w:t>-­‐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w w:val="95"/>
                <w:sz w:val="22"/>
              </w:rPr>
              <w:t>SANITARIO</w:t>
            </w:r>
          </w:p>
        </w:tc>
        <w:tc>
          <w:tcPr>
            <w:tcW w:w="4536" w:type="dxa"/>
          </w:tcPr>
          <w:p>
            <w:pPr>
              <w:pStyle w:val="TableParagraph"/>
              <w:spacing w:line="252" w:lineRule="exact" w:before="6"/>
              <w:ind w:left="14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w w:val="90"/>
                <w:sz w:val="22"/>
              </w:rPr>
              <w:t>PSICO</w:t>
            </w:r>
            <w:r>
              <w:rPr>
                <w:rFonts w:ascii="Calibri" w:hAnsi="Calibri"/>
                <w:b/>
                <w:spacing w:val="4"/>
                <w:sz w:val="22"/>
              </w:rPr>
              <w:t> </w:t>
            </w:r>
            <w:r>
              <w:rPr>
                <w:rFonts w:ascii="Calibri" w:hAnsi="Calibri"/>
                <w:b/>
                <w:w w:val="70"/>
                <w:sz w:val="22"/>
              </w:rPr>
              <w:t>-­‐</w:t>
            </w:r>
            <w:r>
              <w:rPr>
                <w:rFonts w:ascii="Calibri" w:hAnsi="Calibri"/>
                <w:b/>
                <w:spacing w:val="3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w w:val="90"/>
                <w:sz w:val="22"/>
              </w:rPr>
              <w:t>SOCIAL</w:t>
            </w:r>
          </w:p>
        </w:tc>
        <w:tc>
          <w:tcPr>
            <w:tcW w:w="2976" w:type="dxa"/>
          </w:tcPr>
          <w:p>
            <w:pPr>
              <w:pStyle w:val="TableParagraph"/>
              <w:spacing w:line="252" w:lineRule="exact" w:before="6"/>
              <w:ind w:left="602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w w:val="95"/>
                <w:sz w:val="22"/>
              </w:rPr>
              <w:t>SOCIO</w:t>
            </w:r>
            <w:r>
              <w:rPr>
                <w:rFonts w:ascii="Calibri" w:hAnsi="Calibri"/>
                <w:b/>
                <w:spacing w:val="-6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w w:val="70"/>
                <w:sz w:val="22"/>
              </w:rPr>
              <w:t>-­‐</w:t>
            </w:r>
            <w:r>
              <w:rPr>
                <w:rFonts w:ascii="Calibri" w:hAnsi="Calibri"/>
                <w:b/>
                <w:spacing w:val="-7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w w:val="95"/>
                <w:sz w:val="22"/>
              </w:rPr>
              <w:t>CULTURAL</w:t>
            </w:r>
          </w:p>
        </w:tc>
      </w:tr>
      <w:tr>
        <w:trPr>
          <w:trHeight w:val="2740" w:hRule="atLeast"/>
        </w:trPr>
        <w:tc>
          <w:tcPr>
            <w:tcW w:w="1526" w:type="dxa"/>
          </w:tcPr>
          <w:p>
            <w:pPr>
              <w:pStyle w:val="TableParagraph"/>
              <w:spacing w:line="249" w:lineRule="auto" w:before="11"/>
              <w:ind w:right="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Pone el </w:t>
            </w:r>
            <w:r>
              <w:rPr>
                <w:rFonts w:ascii="Calibri"/>
                <w:b/>
                <w:sz w:val="22"/>
              </w:rPr>
              <w:t>foco </w:t>
            </w:r>
            <w:r>
              <w:rPr>
                <w:rFonts w:ascii="Calibri"/>
                <w:b/>
                <w:spacing w:val="-2"/>
                <w:sz w:val="22"/>
              </w:rPr>
              <w:t>en...</w:t>
            </w:r>
          </w:p>
        </w:tc>
        <w:tc>
          <w:tcPr>
            <w:tcW w:w="3403" w:type="dxa"/>
          </w:tcPr>
          <w:p>
            <w:pPr>
              <w:pStyle w:val="TableParagraph"/>
              <w:spacing w:line="288" w:lineRule="auto" w:before="15"/>
              <w:ind w:right="247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La sustancia</w:t>
            </w:r>
            <w:r>
              <w:rPr>
                <w:b/>
                <w:sz w:val="22"/>
              </w:rPr>
              <w:t>: las drogas como un agente activo.</w:t>
            </w:r>
          </w:p>
          <w:p>
            <w:pPr>
              <w:pStyle w:val="TableParagraph"/>
              <w:spacing w:line="288" w:lineRule="auto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Divide las drogas entre innocuas (legales pero no deseadas) y peligrosas (las ilegales)</w:t>
            </w:r>
          </w:p>
        </w:tc>
        <w:tc>
          <w:tcPr>
            <w:tcW w:w="5102" w:type="dxa"/>
          </w:tcPr>
          <w:p>
            <w:pPr>
              <w:pStyle w:val="TableParagraph"/>
              <w:spacing w:line="288" w:lineRule="auto" w:before="15"/>
              <w:ind w:right="343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La sustancia:</w:t>
            </w:r>
            <w:r>
              <w:rPr>
                <w:b/>
                <w:sz w:val="22"/>
              </w:rPr>
              <w:t> Replicando el modelo de las enfermedades infecciosas (agente-huésped- contexto) las drogas son consideradas como el agente activo y asumen el papel principal.</w:t>
            </w:r>
          </w:p>
          <w:p>
            <w:pPr>
              <w:pStyle w:val="TableParagraph"/>
              <w:spacing w:line="288" w:lineRule="auto" w:before="0"/>
              <w:ind w:right="343"/>
              <w:rPr>
                <w:b/>
                <w:sz w:val="22"/>
              </w:rPr>
            </w:pPr>
            <w:r>
              <w:rPr>
                <w:b/>
                <w:sz w:val="22"/>
              </w:rPr>
              <w:t>Las drogas que preocupan son las que causan dependencia (lícitas e ilícitas) con lo que incluye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el alcohol y la nicotina aunque las diferencia de otras drogas en consonancia con la tolerancia</w:t>
            </w:r>
          </w:p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social.</w:t>
            </w:r>
          </w:p>
        </w:tc>
        <w:tc>
          <w:tcPr>
            <w:tcW w:w="4536" w:type="dxa"/>
          </w:tcPr>
          <w:p>
            <w:pPr>
              <w:pStyle w:val="TableParagraph"/>
              <w:spacing w:line="288" w:lineRule="auto" w:before="15"/>
              <w:ind w:left="111" w:right="124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La persona</w:t>
            </w:r>
            <w:r>
              <w:rPr>
                <w:b/>
                <w:sz w:val="22"/>
              </w:rPr>
              <w:t>, aunque le importa también el contexto, como elemento que incide en el comportamiento de las personas.</w:t>
            </w:r>
          </w:p>
          <w:p>
            <w:pPr>
              <w:pStyle w:val="TableParagraph"/>
              <w:spacing w:line="288" w:lineRule="auto" w:before="1"/>
              <w:ind w:left="111"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Diferencia entre cantidades, frecuencias, </w:t>
            </w:r>
            <w:r>
              <w:rPr>
                <w:b/>
                <w:spacing w:val="-2"/>
                <w:sz w:val="22"/>
              </w:rPr>
              <w:t>modalidades.</w:t>
            </w:r>
          </w:p>
          <w:p>
            <w:pPr>
              <w:pStyle w:val="TableParagraph"/>
              <w:spacing w:line="288" w:lineRule="auto" w:before="0"/>
              <w:ind w:left="111"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También reconoce que hay diferentes funciones y diferentes efectos que las drogas tienen en diferentes individuos.</w:t>
            </w:r>
          </w:p>
        </w:tc>
        <w:tc>
          <w:tcPr>
            <w:tcW w:w="2976" w:type="dxa"/>
          </w:tcPr>
          <w:p>
            <w:pPr>
              <w:pStyle w:val="TableParagraph"/>
              <w:spacing w:line="288" w:lineRule="auto" w:before="15"/>
              <w:ind w:left="111" w:right="146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El contexto</w:t>
            </w:r>
            <w:r>
              <w:rPr>
                <w:b/>
                <w:sz w:val="22"/>
              </w:rPr>
              <w:t>, su complejidad y variabilidad, por sobre la persona y la sustancia.</w:t>
            </w:r>
          </w:p>
          <w:p>
            <w:pPr>
              <w:pStyle w:val="TableParagraph"/>
              <w:spacing w:line="288" w:lineRule="auto" w:before="1"/>
              <w:ind w:left="111" w:right="118"/>
              <w:rPr>
                <w:b/>
                <w:sz w:val="22"/>
              </w:rPr>
            </w:pPr>
            <w:r>
              <w:rPr>
                <w:b/>
                <w:sz w:val="22"/>
              </w:rPr>
              <w:t>Aborda las drogas de acuerdo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uso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hacen las personas y la percepción que la sociedad tiene sobre las mismas (tolerancia)</w:t>
            </w:r>
          </w:p>
        </w:tc>
      </w:tr>
      <w:tr>
        <w:trPr>
          <w:trHeight w:val="2125" w:hRule="atLeast"/>
        </w:trPr>
        <w:tc>
          <w:tcPr>
            <w:tcW w:w="1526" w:type="dxa"/>
          </w:tcPr>
          <w:p>
            <w:pPr>
              <w:pStyle w:val="TableParagraph"/>
              <w:spacing w:line="252" w:lineRule="auto" w:before="6"/>
              <w:ind w:right="2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¿Qué lugar </w:t>
            </w:r>
            <w:r>
              <w:rPr>
                <w:rFonts w:ascii="Calibri" w:hAnsi="Calibri"/>
                <w:b/>
                <w:sz w:val="22"/>
              </w:rPr>
              <w:t>le da a la </w:t>
            </w:r>
            <w:r>
              <w:rPr>
                <w:rFonts w:ascii="Calibri" w:hAnsi="Calibri"/>
                <w:b/>
                <w:spacing w:val="-2"/>
                <w:sz w:val="22"/>
              </w:rPr>
              <w:t>persona?</w:t>
            </w:r>
          </w:p>
        </w:tc>
        <w:tc>
          <w:tcPr>
            <w:tcW w:w="3403" w:type="dxa"/>
          </w:tcPr>
          <w:p>
            <w:pPr>
              <w:pStyle w:val="TableParagraph"/>
              <w:spacing w:line="288" w:lineRule="auto"/>
              <w:ind w:right="247"/>
              <w:rPr>
                <w:b/>
                <w:sz w:val="22"/>
              </w:rPr>
            </w:pPr>
            <w:r>
              <w:rPr>
                <w:b/>
                <w:sz w:val="22"/>
              </w:rPr>
              <w:t>Víctima que no sabe y a quien hay que proteger. Las divide entre consumidores y no </w:t>
            </w:r>
            <w:r>
              <w:rPr>
                <w:b/>
                <w:spacing w:val="-2"/>
                <w:sz w:val="22"/>
              </w:rPr>
              <w:t>consumidores.</w:t>
            </w:r>
          </w:p>
        </w:tc>
        <w:tc>
          <w:tcPr>
            <w:tcW w:w="5102" w:type="dxa"/>
          </w:tcPr>
          <w:p>
            <w:pPr>
              <w:pStyle w:val="TableParagraph"/>
              <w:spacing w:line="288" w:lineRule="auto"/>
              <w:ind w:right="670"/>
              <w:rPr>
                <w:b/>
                <w:sz w:val="22"/>
              </w:rPr>
            </w:pPr>
            <w:r>
              <w:rPr>
                <w:b/>
                <w:sz w:val="22"/>
              </w:rPr>
              <w:t>Como huésped de la "enfermedad droga". Los divide entre infectado/infeccioso y entre vulnerable/no vulnerable.</w:t>
            </w:r>
          </w:p>
          <w:p>
            <w:pPr>
              <w:pStyle w:val="TableParagraph"/>
              <w:spacing w:line="288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Los usuarios de las drogas deben ser </w:t>
            </w:r>
            <w:r>
              <w:rPr>
                <w:b/>
                <w:spacing w:val="-2"/>
                <w:sz w:val="22"/>
              </w:rPr>
              <w:t>tratados/curados.</w:t>
            </w:r>
          </w:p>
        </w:tc>
        <w:tc>
          <w:tcPr>
            <w:tcW w:w="4536" w:type="dxa"/>
          </w:tcPr>
          <w:p>
            <w:pPr>
              <w:pStyle w:val="TableParagraph"/>
              <w:spacing w:line="288" w:lineRule="auto"/>
              <w:ind w:left="111"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Aborda el uso de drogas como un comportamiento de las personas y toma en cuenta su contexto.</w:t>
            </w:r>
          </w:p>
          <w:p>
            <w:pPr>
              <w:pStyle w:val="TableParagraph"/>
              <w:spacing w:line="288" w:lineRule="auto" w:before="1"/>
              <w:ind w:left="111" w:right="341"/>
              <w:rPr>
                <w:b/>
                <w:sz w:val="22"/>
              </w:rPr>
            </w:pPr>
            <w:r>
              <w:rPr>
                <w:b/>
                <w:sz w:val="22"/>
              </w:rPr>
              <w:t>Gran importancia a los factores psicológicos y sociales.</w:t>
            </w:r>
          </w:p>
        </w:tc>
        <w:tc>
          <w:tcPr>
            <w:tcW w:w="2976" w:type="dxa"/>
          </w:tcPr>
          <w:p>
            <w:pPr>
              <w:pStyle w:val="TableParagraph"/>
              <w:spacing w:line="288" w:lineRule="auto"/>
              <w:ind w:left="111" w:right="347"/>
              <w:rPr>
                <w:b/>
                <w:sz w:val="22"/>
              </w:rPr>
            </w:pPr>
            <w:r>
              <w:rPr>
                <w:b/>
                <w:sz w:val="22"/>
              </w:rPr>
              <w:t>Toma en cuenta las culturas y las subculturas, prestando atención a las </w:t>
            </w:r>
            <w:r>
              <w:rPr>
                <w:b/>
                <w:spacing w:val="-2"/>
                <w:sz w:val="22"/>
              </w:rPr>
              <w:t>condiciones </w:t>
            </w:r>
            <w:r>
              <w:rPr>
                <w:b/>
                <w:sz w:val="22"/>
              </w:rPr>
              <w:t>socioeconómicas y ambientales y las razones</w:t>
            </w:r>
          </w:p>
          <w:p>
            <w:pPr>
              <w:pStyle w:val="TableParagraph"/>
              <w:spacing w:before="3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tensión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psicológica.</w:t>
            </w:r>
          </w:p>
        </w:tc>
      </w:tr>
      <w:tr>
        <w:trPr>
          <w:trHeight w:val="1218" w:hRule="atLeast"/>
        </w:trPr>
        <w:tc>
          <w:tcPr>
            <w:tcW w:w="1526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El</w:t>
            </w:r>
            <w:r>
              <w:rPr>
                <w:rFonts w:ascii="Calibri"/>
                <w:b/>
                <w:spacing w:val="8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fin...</w:t>
            </w:r>
          </w:p>
        </w:tc>
        <w:tc>
          <w:tcPr>
            <w:tcW w:w="3403" w:type="dxa"/>
          </w:tcPr>
          <w:p>
            <w:pPr>
              <w:pStyle w:val="TableParagraph"/>
              <w:spacing w:line="288" w:lineRule="auto" w:before="15"/>
              <w:rPr>
                <w:b/>
                <w:sz w:val="22"/>
              </w:rPr>
            </w:pPr>
            <w:r>
              <w:rPr>
                <w:b/>
                <w:sz w:val="22"/>
              </w:rPr>
              <w:t>Que las drogas queden fuera del alcance de las personas.</w:t>
            </w:r>
          </w:p>
        </w:tc>
        <w:tc>
          <w:tcPr>
            <w:tcW w:w="5102" w:type="dxa"/>
          </w:tcPr>
          <w:p>
            <w:pPr>
              <w:pStyle w:val="TableParagraph"/>
              <w:spacing w:line="288" w:lineRule="auto" w:before="15"/>
              <w:ind w:right="343"/>
              <w:rPr>
                <w:b/>
                <w:sz w:val="22"/>
              </w:rPr>
            </w:pPr>
            <w:r>
              <w:rPr>
                <w:b/>
                <w:sz w:val="22"/>
              </w:rPr>
              <w:t>Evitar el contacto con las drogas ("vacunar") y curar a los usuarios.</w:t>
            </w:r>
          </w:p>
        </w:tc>
        <w:tc>
          <w:tcPr>
            <w:tcW w:w="4536" w:type="dxa"/>
          </w:tcPr>
          <w:p>
            <w:pPr>
              <w:pStyle w:val="TableParagraph"/>
              <w:spacing w:line="288" w:lineRule="auto" w:before="15"/>
              <w:ind w:left="111"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Abordar el consumo problemático, la </w:t>
            </w:r>
            <w:r>
              <w:rPr>
                <w:b/>
                <w:spacing w:val="-2"/>
                <w:sz w:val="22"/>
              </w:rPr>
              <w:t>dependencia.</w:t>
            </w:r>
          </w:p>
        </w:tc>
        <w:tc>
          <w:tcPr>
            <w:tcW w:w="2976" w:type="dxa"/>
          </w:tcPr>
          <w:p>
            <w:pPr>
              <w:pStyle w:val="TableParagraph"/>
              <w:spacing w:line="288" w:lineRule="auto" w:before="15"/>
              <w:ind w:left="111" w:right="347"/>
              <w:rPr>
                <w:b/>
                <w:sz w:val="22"/>
              </w:rPr>
            </w:pPr>
            <w:r>
              <w:rPr>
                <w:b/>
                <w:sz w:val="22"/>
              </w:rPr>
              <w:t>Abordar esas condiciones </w:t>
            </w:r>
            <w:r>
              <w:rPr>
                <w:b/>
                <w:spacing w:val="-2"/>
                <w:sz w:val="22"/>
              </w:rPr>
              <w:t>sociales-económicas- </w:t>
            </w:r>
            <w:r>
              <w:rPr>
                <w:b/>
                <w:sz w:val="22"/>
              </w:rPr>
              <w:t>culturales que abonan el</w:t>
            </w:r>
          </w:p>
          <w:p>
            <w:pPr>
              <w:pStyle w:val="TableParagraph"/>
              <w:spacing w:before="1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terreno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adicciones.</w:t>
            </w:r>
          </w:p>
        </w:tc>
      </w:tr>
      <w:tr>
        <w:trPr>
          <w:trHeight w:val="1823" w:hRule="atLeast"/>
        </w:trPr>
        <w:tc>
          <w:tcPr>
            <w:tcW w:w="1526" w:type="dxa"/>
          </w:tcPr>
          <w:p>
            <w:pPr>
              <w:pStyle w:val="TableParagraph"/>
              <w:spacing w:before="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El</w:t>
            </w:r>
            <w:r>
              <w:rPr>
                <w:rFonts w:ascii="Calibri"/>
                <w:b/>
                <w:spacing w:val="8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medio...</w:t>
            </w:r>
          </w:p>
        </w:tc>
        <w:tc>
          <w:tcPr>
            <w:tcW w:w="3403" w:type="dxa"/>
          </w:tcPr>
          <w:p>
            <w:pPr>
              <w:pStyle w:val="TableParagraph"/>
              <w:spacing w:line="28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Leyes que castiguen o funcionen como amenaza de castigo para desincentivar el consumo y la </w:t>
            </w:r>
            <w:r>
              <w:rPr>
                <w:b/>
                <w:spacing w:val="-2"/>
                <w:sz w:val="22"/>
              </w:rPr>
              <w:t>comercialización.</w:t>
            </w:r>
          </w:p>
        </w:tc>
        <w:tc>
          <w:tcPr>
            <w:tcW w:w="5102" w:type="dxa"/>
          </w:tcPr>
          <w:p>
            <w:pPr>
              <w:pStyle w:val="TableParagraph"/>
              <w:spacing w:line="28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Alto precio de las drogas para desincentivar el </w:t>
            </w:r>
            <w:r>
              <w:rPr>
                <w:b/>
                <w:spacing w:val="-2"/>
                <w:sz w:val="22"/>
              </w:rPr>
              <w:t>consumo.</w:t>
            </w:r>
          </w:p>
          <w:p>
            <w:pPr>
              <w:pStyle w:val="TableParagraph"/>
              <w:spacing w:line="288" w:lineRule="auto"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Campañas de prevención para que disminuya la aceptación social.</w:t>
            </w:r>
          </w:p>
        </w:tc>
        <w:tc>
          <w:tcPr>
            <w:tcW w:w="4536" w:type="dxa"/>
          </w:tcPr>
          <w:p>
            <w:pPr>
              <w:pStyle w:val="TableParagraph"/>
              <w:spacing w:line="288" w:lineRule="auto"/>
              <w:ind w:left="111"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La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intervención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debe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centrarse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la relación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entre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persona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drogas,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que es compleja y dinámica. Las medidas que se toman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están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vinculadas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específicamente a las sustancias sino a resolver el</w:t>
            </w:r>
          </w:p>
          <w:p>
            <w:pPr>
              <w:pStyle w:val="TableParagraph"/>
              <w:spacing w:before="4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comportamiento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destructivo.</w:t>
            </w:r>
          </w:p>
        </w:tc>
        <w:tc>
          <w:tcPr>
            <w:tcW w:w="2976" w:type="dxa"/>
          </w:tcPr>
          <w:p>
            <w:pPr>
              <w:pStyle w:val="TableParagraph"/>
              <w:spacing w:line="288" w:lineRule="auto"/>
              <w:ind w:left="111" w:right="248"/>
              <w:rPr>
                <w:b/>
                <w:sz w:val="22"/>
              </w:rPr>
            </w:pPr>
            <w:r>
              <w:rPr>
                <w:b/>
                <w:sz w:val="22"/>
              </w:rPr>
              <w:t>Tiene que ver con iniciativas que promueven el desarrollo y mejoran las condiciones de vida de las </w:t>
            </w:r>
            <w:r>
              <w:rPr>
                <w:b/>
                <w:spacing w:val="-2"/>
                <w:sz w:val="22"/>
              </w:rPr>
              <w:t>personas.</w:t>
            </w:r>
          </w:p>
        </w:tc>
      </w:tr>
    </w:tbl>
    <w:sectPr>
      <w:type w:val="continuous"/>
      <w:pgSz w:w="20160" w:h="12240" w:orient="landscape"/>
      <w:pgMar w:top="640" w:bottom="280" w:left="9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42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ind w:left="11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2024-05-13T23:12:22Z</dcterms:created>
  <dcterms:modified xsi:type="dcterms:W3CDTF">2024-05-13T23:12:22Z</dcterms:modified>
</cp:coreProperties>
</file>